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749AD" w14:textId="77777777" w:rsidR="00546BC9" w:rsidRDefault="00546BC9" w:rsidP="002742F1">
      <w:pPr>
        <w:spacing w:after="120"/>
        <w:ind w:firstLine="142"/>
        <w:jc w:val="center"/>
        <w:rPr>
          <w:rFonts w:ascii="Times New Roman" w:hAnsi="Times New Roman"/>
          <w:b/>
          <w:smallCaps/>
        </w:rPr>
      </w:pPr>
      <w:r>
        <w:rPr>
          <w:rFonts w:ascii="Times New Roman" w:hAnsi="Times New Roman"/>
          <w:b/>
          <w:smallCaps/>
        </w:rPr>
        <w:t>XXI Domenica Tempo Ordinario (B) – 2</w:t>
      </w:r>
      <w:r w:rsidR="002742F1">
        <w:rPr>
          <w:rFonts w:ascii="Times New Roman" w:hAnsi="Times New Roman"/>
          <w:b/>
          <w:smallCaps/>
        </w:rPr>
        <w:t>5 agosto 2024</w:t>
      </w:r>
    </w:p>
    <w:p w14:paraId="1F323164" w14:textId="77777777" w:rsidR="00546BC9" w:rsidRPr="00546BC9" w:rsidRDefault="00546BC9" w:rsidP="00065E92">
      <w:pPr>
        <w:spacing w:after="120"/>
        <w:ind w:firstLine="142"/>
        <w:jc w:val="center"/>
        <w:rPr>
          <w:i/>
        </w:rPr>
      </w:pPr>
      <w:r>
        <w:rPr>
          <w:i/>
        </w:rPr>
        <w:t>Riflessione di d. Luca</w:t>
      </w:r>
    </w:p>
    <w:p w14:paraId="639D7E00" w14:textId="77777777" w:rsidR="00546BC9" w:rsidRDefault="00546BC9" w:rsidP="00065E92">
      <w:pPr>
        <w:spacing w:after="120"/>
        <w:ind w:firstLine="142"/>
        <w:rPr>
          <w:rFonts w:ascii="Times New Roman" w:hAnsi="Times New Roman"/>
        </w:rPr>
      </w:pPr>
    </w:p>
    <w:p w14:paraId="2BF7BA71" w14:textId="1F899BD0" w:rsidR="00546BC9" w:rsidRDefault="00546BC9" w:rsidP="00A63B06">
      <w:pPr>
        <w:spacing w:after="120"/>
        <w:ind w:firstLine="142"/>
        <w:jc w:val="both"/>
        <w:rPr>
          <w:rFonts w:ascii="Times New Roman" w:hAnsi="Times New Roman"/>
        </w:rPr>
      </w:pPr>
      <w:r w:rsidRPr="00065E92">
        <w:rPr>
          <w:rFonts w:ascii="Times New Roman" w:hAnsi="Times New Roman"/>
          <w:b/>
          <w:sz w:val="32"/>
        </w:rPr>
        <w:t>C</w:t>
      </w:r>
      <w:r>
        <w:rPr>
          <w:rFonts w:ascii="Times New Roman" w:hAnsi="Times New Roman"/>
        </w:rPr>
        <w:t xml:space="preserve">on questa ventunesima domenica del Tempo Ordinario concludiamo la lettura del capitolo sesto di Giovanni, </w:t>
      </w:r>
      <w:r w:rsidR="00065E92">
        <w:rPr>
          <w:rFonts w:ascii="Times New Roman" w:hAnsi="Times New Roman"/>
        </w:rPr>
        <w:t xml:space="preserve">ovvero </w:t>
      </w:r>
      <w:r>
        <w:rPr>
          <w:rFonts w:ascii="Times New Roman" w:hAnsi="Times New Roman"/>
        </w:rPr>
        <w:t xml:space="preserve">il discorso del pane di vita. Il taglio con cui affrontare l’ultima parte del dibattito tra Gesù e i </w:t>
      </w:r>
      <w:r w:rsidR="00065E92">
        <w:rPr>
          <w:rFonts w:ascii="Times New Roman" w:hAnsi="Times New Roman"/>
        </w:rPr>
        <w:t>suoi ascoltatori, e, tra questi</w:t>
      </w:r>
      <w:r>
        <w:rPr>
          <w:rFonts w:ascii="Times New Roman" w:hAnsi="Times New Roman"/>
        </w:rPr>
        <w:t xml:space="preserve"> i dodici, ci è offerto dalla prima lettura. Ci troviamo di fronte a una piccola antologia di versetti tratti dal capitolo 24 del libro di Giosuè. Si tratta dell’ultimo capitolo</w:t>
      </w:r>
      <w:r w:rsidR="00A63B06">
        <w:rPr>
          <w:rFonts w:ascii="Times New Roman" w:hAnsi="Times New Roman"/>
        </w:rPr>
        <w:t xml:space="preserve"> del libro</w:t>
      </w:r>
      <w:r>
        <w:rPr>
          <w:rFonts w:ascii="Times New Roman" w:hAnsi="Times New Roman"/>
        </w:rPr>
        <w:t xml:space="preserve"> che serve a concludere la narrazione della conquista della terra di </w:t>
      </w:r>
      <w:proofErr w:type="spellStart"/>
      <w:r>
        <w:rPr>
          <w:rFonts w:ascii="Times New Roman" w:hAnsi="Times New Roman"/>
        </w:rPr>
        <w:t>Canaan</w:t>
      </w:r>
      <w:proofErr w:type="spellEnd"/>
      <w:r>
        <w:rPr>
          <w:rFonts w:ascii="Times New Roman" w:hAnsi="Times New Roman"/>
        </w:rPr>
        <w:t xml:space="preserve">, </w:t>
      </w:r>
      <w:r w:rsidR="00A63B06">
        <w:rPr>
          <w:rFonts w:ascii="Times New Roman" w:hAnsi="Times New Roman"/>
        </w:rPr>
        <w:t>l’</w:t>
      </w:r>
      <w:r>
        <w:rPr>
          <w:rFonts w:ascii="Times New Roman" w:hAnsi="Times New Roman"/>
        </w:rPr>
        <w:t>argomento</w:t>
      </w:r>
      <w:r w:rsidR="00A63B06">
        <w:rPr>
          <w:rFonts w:ascii="Times New Roman" w:hAnsi="Times New Roman"/>
        </w:rPr>
        <w:t xml:space="preserve"> principale</w:t>
      </w:r>
      <w:r>
        <w:rPr>
          <w:rFonts w:ascii="Times New Roman" w:hAnsi="Times New Roman"/>
        </w:rPr>
        <w:t xml:space="preserve"> del libro di Giosuè, con un episodio significativo: il rinnovo dell’alleanza con il Signore presso la città di </w:t>
      </w:r>
      <w:proofErr w:type="spellStart"/>
      <w:r>
        <w:rPr>
          <w:rFonts w:ascii="Times New Roman" w:hAnsi="Times New Roman"/>
        </w:rPr>
        <w:t>Sichem</w:t>
      </w:r>
      <w:proofErr w:type="spellEnd"/>
      <w:r>
        <w:rPr>
          <w:rFonts w:ascii="Times New Roman" w:hAnsi="Times New Roman"/>
        </w:rPr>
        <w:t xml:space="preserve">. Il brano liturgico riporta l’introduzione al discorso di Giosuè, che, nel testo biblico, inizia con i versetti 3-13, completamente saltati dalla liturgia, ma necessari per comprendere il senso del testo. In quei versetti, infatti, in bocca a Giosuè viene posto un riassunto delle azioni compiute da Dio a favore d’Israele, dai tempi di Abramo sino all’ingresso nella terra promessa. </w:t>
      </w:r>
    </w:p>
    <w:p w14:paraId="59B83EDE" w14:textId="7D2B347B" w:rsidR="00546BC9" w:rsidRDefault="00546BC9" w:rsidP="00A63B06">
      <w:pPr>
        <w:pStyle w:val="Corpotesto"/>
        <w:spacing w:after="120"/>
        <w:ind w:firstLine="142"/>
        <w:rPr>
          <w:rFonts w:ascii="Times New Roman" w:hAnsi="Times New Roman"/>
        </w:rPr>
      </w:pPr>
      <w:r w:rsidRPr="00065E92">
        <w:rPr>
          <w:rFonts w:ascii="Times New Roman" w:hAnsi="Times New Roman"/>
          <w:b/>
          <w:sz w:val="32"/>
        </w:rPr>
        <w:t>A</w:t>
      </w:r>
      <w:r>
        <w:rPr>
          <w:rFonts w:ascii="Times New Roman" w:hAnsi="Times New Roman"/>
        </w:rPr>
        <w:t>lla luce di questa rievocazione di carattere storico, i versetti 14-24 acquistano un significato molto importante: Giosuè si rivolge al popolo chiedendo per ben quattro volte quale Dio il popolo intend</w:t>
      </w:r>
      <w:r w:rsidR="00065E92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servire. Israele è così invitato a scegliere e ogni volta sceglie di servire il Signore. Di questo dibattito la liturgia ci riporta una parte degli inviti di Giosuè (v. 15) e una parte di una delle risposte del popolo (</w:t>
      </w:r>
      <w:proofErr w:type="spellStart"/>
      <w:r>
        <w:rPr>
          <w:rFonts w:ascii="Times New Roman" w:hAnsi="Times New Roman"/>
        </w:rPr>
        <w:t>vv</w:t>
      </w:r>
      <w:proofErr w:type="spellEnd"/>
      <w:r>
        <w:rPr>
          <w:rFonts w:ascii="Times New Roman" w:hAnsi="Times New Roman"/>
        </w:rPr>
        <w:t>. 17-18). Solo allora, dopo che il popolo ha scelto, l’alleanza potrà essere davvero rinnovata (</w:t>
      </w:r>
      <w:proofErr w:type="spellStart"/>
      <w:r>
        <w:rPr>
          <w:rFonts w:ascii="Times New Roman" w:hAnsi="Times New Roman"/>
        </w:rPr>
        <w:t>vv</w:t>
      </w:r>
      <w:proofErr w:type="spellEnd"/>
      <w:r>
        <w:rPr>
          <w:rFonts w:ascii="Times New Roman" w:hAnsi="Times New Roman"/>
        </w:rPr>
        <w:t xml:space="preserve">. 25-26). </w:t>
      </w:r>
    </w:p>
    <w:p w14:paraId="0C509EDF" w14:textId="0991D01C" w:rsidR="00546BC9" w:rsidRDefault="00546BC9" w:rsidP="00065E92">
      <w:pPr>
        <w:spacing w:after="120"/>
        <w:ind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065E92">
        <w:rPr>
          <w:rFonts w:ascii="Times New Roman" w:hAnsi="Times New Roman"/>
          <w:b/>
          <w:sz w:val="32"/>
        </w:rPr>
        <w:t>S</w:t>
      </w:r>
      <w:r>
        <w:rPr>
          <w:rFonts w:ascii="Times New Roman" w:hAnsi="Times New Roman"/>
        </w:rPr>
        <w:t>cegliete, oggi, chi volete servire”. Ciò che è detto da Giosuè vale piuttosto per l’oggi, cioè per ogni ascoltatore nel momento stesso in cui si pone davanti a questi testi: chi volete dunque servire? Se è vero che la fede è un dono, il testo di Giosuè ci ricorda che è anche necessario scegliere e che il Signore non obbliga nessuno a seguirlo, ma presuppone la nostra libertà. Tutto ciò ci prepara ad ascoltare la domanda posta da Gesù ai dodici: “forse anche voi volete andarvene?”.</w:t>
      </w:r>
      <w:r w:rsidR="00A63B06">
        <w:rPr>
          <w:rFonts w:ascii="Times New Roman" w:hAnsi="Times New Roman"/>
        </w:rPr>
        <w:t xml:space="preserve"> In questo mondo, in questa chiesa così disastrata, chi vogliamo servire? Scegliere Dio ha ancora un senso?</w:t>
      </w:r>
    </w:p>
    <w:p w14:paraId="39E984B5" w14:textId="51F694CE" w:rsidR="00A63B06" w:rsidRPr="00A63B06" w:rsidRDefault="00A63B06" w:rsidP="00A63B06">
      <w:pPr>
        <w:spacing w:after="120"/>
        <w:ind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U</w:t>
      </w:r>
      <w:r>
        <w:rPr>
          <w:rFonts w:ascii="Times New Roman" w:hAnsi="Times New Roman"/>
        </w:rPr>
        <w:t>n buon esempio ci viene dalla seconda lettura, un brano che letto superficialmente oggi parrebbe inaccettabile; già parlare di mogli e di mariti per molti non ha più senso; parlare poi di donne sottomesse – questo è addirittura scandaloso! Anche se nessuno muove un dito per quello che accade alle donne in paesi come l’Afghanistan o l’Iran. Ma se leggiamo bene il brano di Paolo, egli dice due cose importanti: la prima, che dobbiamo essere sottomessi gli uni gli altri – dunque non solo le donne ai mariti! Per i cristiani non ci sono persone al di sopra di altre. La seconda cosa: Paolo sfrutta la realtà culturale del tempo (la posizione debole della donna) per creare un nuovo modello: il rapporto uomo – donna è figura di quello di Cristo con la chiesa. In questo modo, il matrimonio diviene segno vivente dell’amore del Signore per ognuno di noi.</w:t>
      </w:r>
    </w:p>
    <w:p w14:paraId="0BEB8AC9" w14:textId="05546506" w:rsidR="00546BC9" w:rsidRPr="00A63B06" w:rsidRDefault="00A63B06" w:rsidP="00A63B06">
      <w:pPr>
        <w:spacing w:after="120"/>
        <w:ind w:firstLine="142"/>
        <w:jc w:val="both"/>
        <w:rPr>
          <w:rFonts w:ascii="Times New Roman" w:hAnsi="Times New Roman"/>
          <w:bCs/>
          <w:szCs w:val="28"/>
        </w:rPr>
      </w:pPr>
      <w:r w:rsidRPr="00A63B06">
        <w:rPr>
          <w:rFonts w:ascii="Times New Roman" w:hAnsi="Times New Roman"/>
          <w:bCs/>
          <w:szCs w:val="28"/>
        </w:rPr>
        <w:t>M</w:t>
      </w:r>
      <w:r>
        <w:rPr>
          <w:rFonts w:ascii="Times New Roman" w:hAnsi="Times New Roman"/>
          <w:bCs/>
          <w:szCs w:val="28"/>
        </w:rPr>
        <w:t>a torniamo al vangelo. C</w:t>
      </w:r>
      <w:r w:rsidR="00546BC9" w:rsidRPr="00A63B06">
        <w:rPr>
          <w:rFonts w:ascii="Times New Roman" w:hAnsi="Times New Roman"/>
          <w:bCs/>
          <w:szCs w:val="28"/>
        </w:rPr>
        <w:t>he</w:t>
      </w:r>
      <w:r w:rsidR="00546BC9">
        <w:rPr>
          <w:rFonts w:ascii="Times New Roman" w:hAnsi="Times New Roman"/>
        </w:rPr>
        <w:t xml:space="preserve"> il discorso di Gesù sul pane di vita avesse creato scandalo ai suoi ascoltatori, lo avevamo già capito: nelle domeniche precedenti, infatti, la </w:t>
      </w:r>
      <w:r w:rsidR="00546BC9">
        <w:rPr>
          <w:rFonts w:ascii="Times New Roman" w:hAnsi="Times New Roman"/>
        </w:rPr>
        <w:lastRenderedPageBreak/>
        <w:t xml:space="preserve">lettura di </w:t>
      </w:r>
      <w:proofErr w:type="spellStart"/>
      <w:r w:rsidR="00546BC9">
        <w:rPr>
          <w:rFonts w:ascii="Times New Roman" w:hAnsi="Times New Roman"/>
        </w:rPr>
        <w:t>Gv</w:t>
      </w:r>
      <w:proofErr w:type="spellEnd"/>
      <w:r w:rsidR="00546BC9">
        <w:rPr>
          <w:rFonts w:ascii="Times New Roman" w:hAnsi="Times New Roman"/>
        </w:rPr>
        <w:t xml:space="preserve"> 6 ci ha portato spesso a sottolineare l’incomprensione degli interlocutori di Gesù. D’altra parte Gesù stesso ha sempre rinviato al tema della fede: i segni che egli offre sono comprensibili soltanto in quest’ottica. Al termine del suo discorso scoppia lo scandalo più grosso: Gesù esagera! Come può darci la sua carne da mangiare? E così molti dei suoi discepoli se ne vanno. Il buon senso sembra prevalere</w:t>
      </w:r>
      <w:r w:rsidR="00065E92">
        <w:rPr>
          <w:rFonts w:ascii="Times New Roman" w:hAnsi="Times New Roman"/>
        </w:rPr>
        <w:t>,</w:t>
      </w:r>
      <w:r w:rsidR="00546BC9">
        <w:rPr>
          <w:rFonts w:ascii="Times New Roman" w:hAnsi="Times New Roman"/>
        </w:rPr>
        <w:t xml:space="preserve"> per addomesticare e inserire in un contesto più accettabile le parole del Signore. Ognuno potrà ampliare per suo conto questa riflessione: in che modo anche oggi le pa</w:t>
      </w:r>
      <w:r w:rsidR="00065E92">
        <w:rPr>
          <w:rFonts w:ascii="Times New Roman" w:hAnsi="Times New Roman"/>
        </w:rPr>
        <w:t xml:space="preserve">role del Signore </w:t>
      </w:r>
      <w:r w:rsidR="00546BC9">
        <w:rPr>
          <w:rFonts w:ascii="Times New Roman" w:hAnsi="Times New Roman"/>
        </w:rPr>
        <w:t>continuano a creare scandalo? Appaiono forse anche a noi come “parole dure”?</w:t>
      </w:r>
      <w:r w:rsidR="002D28D0">
        <w:rPr>
          <w:rFonts w:ascii="Times New Roman" w:hAnsi="Times New Roman"/>
        </w:rPr>
        <w:t xml:space="preserve"> E come accadeva ai discepoli di Gesù ci rifugiamo nella “mormorazione”, nel nasconderci dietro critiche</w:t>
      </w:r>
      <w:r w:rsidR="00065E92">
        <w:rPr>
          <w:rFonts w:ascii="Times New Roman" w:hAnsi="Times New Roman"/>
        </w:rPr>
        <w:t xml:space="preserve"> superficiali</w:t>
      </w:r>
      <w:r w:rsidR="002D28D0">
        <w:rPr>
          <w:rFonts w:ascii="Times New Roman" w:hAnsi="Times New Roman"/>
        </w:rPr>
        <w:t xml:space="preserve"> e</w:t>
      </w:r>
      <w:r>
        <w:rPr>
          <w:rFonts w:ascii="Times New Roman" w:hAnsi="Times New Roman"/>
        </w:rPr>
        <w:t xml:space="preserve"> dietro</w:t>
      </w:r>
      <w:r w:rsidR="002D28D0">
        <w:rPr>
          <w:rFonts w:ascii="Times New Roman" w:hAnsi="Times New Roman"/>
        </w:rPr>
        <w:t xml:space="preserve"> parole cattive.</w:t>
      </w:r>
    </w:p>
    <w:p w14:paraId="6637F637" w14:textId="000C6BC3" w:rsidR="00546BC9" w:rsidRPr="002D28D0" w:rsidRDefault="00546BC9" w:rsidP="00065E92">
      <w:pPr>
        <w:spacing w:after="120"/>
        <w:ind w:firstLine="142"/>
        <w:jc w:val="both"/>
        <w:rPr>
          <w:rFonts w:ascii="Times New Roman" w:hAnsi="Times New Roman"/>
        </w:rPr>
      </w:pPr>
      <w:r w:rsidRPr="00065E92">
        <w:rPr>
          <w:rFonts w:ascii="Times New Roman" w:hAnsi="Times New Roman"/>
          <w:b/>
          <w:sz w:val="32"/>
        </w:rPr>
        <w:t>C</w:t>
      </w:r>
      <w:r>
        <w:rPr>
          <w:rFonts w:ascii="Times New Roman" w:hAnsi="Times New Roman"/>
        </w:rPr>
        <w:t>ome sempre avviene nel vangelo di Giovanni, di fronte alle critiche ricevute Gesù sembra rincarare la dose. Vi è così un segno ancora più scandaloso dell’</w:t>
      </w:r>
      <w:r w:rsidR="00065E92">
        <w:rPr>
          <w:rFonts w:ascii="Times New Roman" w:hAnsi="Times New Roman"/>
        </w:rPr>
        <w:t>e</w:t>
      </w:r>
      <w:r>
        <w:rPr>
          <w:rFonts w:ascii="Times New Roman" w:hAnsi="Times New Roman"/>
        </w:rPr>
        <w:t>ucarestia: il ritorno di Gesù al Padre,</w:t>
      </w:r>
      <w:r w:rsidR="002D28D0">
        <w:rPr>
          <w:rFonts w:ascii="Times New Roman" w:hAnsi="Times New Roman"/>
        </w:rPr>
        <w:t xml:space="preserve"> che sottolinea lo stretto rapporto tra i due, un ritorno</w:t>
      </w:r>
      <w:r>
        <w:rPr>
          <w:rFonts w:ascii="Times New Roman" w:hAnsi="Times New Roman"/>
        </w:rPr>
        <w:t xml:space="preserve"> che presuppone però, come ormai già sanno i lettori del quarto Vangelo, la morte violenta di Gesù e quindi la croce. Ma Gesù aggiunge, con un linguaggio apparentemente sibillino, che è “lo Spirito che da la vita, la carne non giova a nulla”. </w:t>
      </w:r>
      <w:r w:rsidR="002D28D0">
        <w:rPr>
          <w:rFonts w:ascii="Times New Roman" w:hAnsi="Times New Roman"/>
        </w:rPr>
        <w:t>La carne è</w:t>
      </w:r>
      <w:r w:rsidR="00A96F9C">
        <w:rPr>
          <w:rFonts w:ascii="Times New Roman" w:hAnsi="Times New Roman"/>
        </w:rPr>
        <w:t xml:space="preserve"> qui</w:t>
      </w:r>
      <w:r w:rsidR="002D28D0">
        <w:rPr>
          <w:rFonts w:ascii="Times New Roman" w:hAnsi="Times New Roman"/>
        </w:rPr>
        <w:t xml:space="preserve"> simbolo della persona che si chiude nell’illusione dell’autosufficienza, nella menzogna, nell’autoinganno. Solo lo Spirito, cioè l’accoglienza del dono di Dio, può dare la vita. E lo “Spirito” si trova già nell’accoglienza delle parole del Signore: “le parole che vi ho detto sono Spirito e vita”. Giovanni insiste sull’incredulità dei discepoli (v. 64), ma molto di più sull’impossibilità, per l’essere umano, di credere se ciò non è concesso loro dal Padre (v. 65). Per credere, dunque, bisogna essere disponibili ad accogliere un dono, smettendo così di confidare soltanto nelle proprie forze; la fede implica la rinunzia ad ogni pretesa forma d’autosufficienza.</w:t>
      </w:r>
    </w:p>
    <w:p w14:paraId="0BED9AD6" w14:textId="75DCC20F" w:rsidR="00360058" w:rsidRDefault="00546BC9" w:rsidP="00065E92">
      <w:pPr>
        <w:pStyle w:val="Corpotesto"/>
        <w:spacing w:after="120"/>
        <w:ind w:firstLine="142"/>
        <w:rPr>
          <w:rFonts w:ascii="Times New Roman" w:hAnsi="Times New Roman"/>
        </w:rPr>
      </w:pPr>
      <w:r w:rsidRPr="00065E92">
        <w:rPr>
          <w:rFonts w:ascii="Times New Roman" w:hAnsi="Times New Roman"/>
          <w:b/>
          <w:sz w:val="32"/>
        </w:rPr>
        <w:t>N</w:t>
      </w:r>
      <w:r>
        <w:rPr>
          <w:rFonts w:ascii="Times New Roman" w:hAnsi="Times New Roman"/>
        </w:rPr>
        <w:t xml:space="preserve">el testo che abbiamo ascoltato sembra che il rifiuto di Gesù da parte dei suoi stessi discepoli non abbia mai fine; ma mentre </w:t>
      </w:r>
      <w:r w:rsidR="00065E92">
        <w:rPr>
          <w:rFonts w:ascii="Times New Roman" w:hAnsi="Times New Roman"/>
        </w:rPr>
        <w:t>aumenta</w:t>
      </w:r>
      <w:r>
        <w:rPr>
          <w:rFonts w:ascii="Times New Roman" w:hAnsi="Times New Roman"/>
        </w:rPr>
        <w:t xml:space="preserve"> l’incomprensione dei </w:t>
      </w:r>
      <w:r w:rsidR="00065E92">
        <w:rPr>
          <w:rFonts w:ascii="Times New Roman" w:hAnsi="Times New Roman"/>
        </w:rPr>
        <w:t>suoi seguaci</w:t>
      </w:r>
      <w:r>
        <w:rPr>
          <w:rFonts w:ascii="Times New Roman" w:hAnsi="Times New Roman"/>
        </w:rPr>
        <w:t>, matura la fede dei dodici. Quel che lui ha detto provoca come risultato immediato soltanto un’ulteriore fuga: “da allora molti dei suoi discepoli si ritirar</w:t>
      </w:r>
      <w:r w:rsidR="00360058">
        <w:rPr>
          <w:rFonts w:ascii="Times New Roman" w:hAnsi="Times New Roman"/>
        </w:rPr>
        <w:t>ono e non andarono più con lui”</w:t>
      </w:r>
      <w:r>
        <w:rPr>
          <w:rFonts w:ascii="Times New Roman" w:hAnsi="Times New Roman"/>
        </w:rPr>
        <w:t xml:space="preserve">; sembra che intorno a Gesù si sia fatto il vuoto. </w:t>
      </w:r>
      <w:r w:rsidR="00360058">
        <w:rPr>
          <w:rFonts w:ascii="Times New Roman" w:hAnsi="Times New Roman"/>
        </w:rPr>
        <w:t>Anche Gesù sperimenta quella sensazione di fallimento che le nostre comunità sperimentano molto spesso. Si può anche perdere la fede, o magari, come capita a tanti in questi tempi, accorgersi di non averla mai avuta.</w:t>
      </w:r>
      <w:r w:rsidR="00A96F9C">
        <w:rPr>
          <w:rFonts w:ascii="Times New Roman" w:hAnsi="Times New Roman"/>
        </w:rPr>
        <w:t xml:space="preserve"> Ci guardiamo intorno e vediamo che tante persone che credevamo parte della comunità hanno preso altre vie – non necessariamente sbagliate, ma non sono più con noi. O, forse, siamo noi a non essere più con loro.</w:t>
      </w:r>
    </w:p>
    <w:p w14:paraId="3559CB13" w14:textId="77777777" w:rsidR="00546BC9" w:rsidRDefault="00546BC9" w:rsidP="00065E92">
      <w:pPr>
        <w:pStyle w:val="Corpotesto"/>
        <w:spacing w:after="120"/>
        <w:ind w:firstLine="142"/>
        <w:rPr>
          <w:rFonts w:ascii="Times New Roman" w:hAnsi="Times New Roman"/>
        </w:rPr>
      </w:pPr>
      <w:r w:rsidRPr="00065E92">
        <w:rPr>
          <w:rFonts w:ascii="Times New Roman" w:hAnsi="Times New Roman"/>
          <w:b/>
          <w:sz w:val="32"/>
        </w:rPr>
        <w:t>E</w:t>
      </w:r>
      <w:r>
        <w:rPr>
          <w:rFonts w:ascii="Times New Roman" w:hAnsi="Times New Roman"/>
        </w:rPr>
        <w:t xml:space="preserve">ppure c’è qualcuno </w:t>
      </w:r>
      <w:r w:rsidR="00360058">
        <w:rPr>
          <w:rFonts w:ascii="Times New Roman" w:hAnsi="Times New Roman"/>
        </w:rPr>
        <w:t>risponde in positivo:</w:t>
      </w:r>
      <w:r>
        <w:rPr>
          <w:rFonts w:ascii="Times New Roman" w:hAnsi="Times New Roman"/>
        </w:rPr>
        <w:t xml:space="preserve"> i dodici. </w:t>
      </w:r>
      <w:r w:rsidR="00065E92">
        <w:rPr>
          <w:rFonts w:ascii="Times New Roman" w:hAnsi="Times New Roman"/>
        </w:rPr>
        <w:t>Fa</w:t>
      </w:r>
      <w:r w:rsidR="00360058">
        <w:rPr>
          <w:rFonts w:ascii="Times New Roman" w:hAnsi="Times New Roman"/>
        </w:rPr>
        <w:t xml:space="preserve"> riflettere</w:t>
      </w:r>
      <w:r>
        <w:rPr>
          <w:rFonts w:ascii="Times New Roman" w:hAnsi="Times New Roman"/>
        </w:rPr>
        <w:t xml:space="preserve"> che in tutto il vangelo di Giovanni i dodici vengano menzionati soltanto in questo contesto; a questi dodici Gesù rivolge un’ultima provocazione: “forse anche voi volete andarvene?”. Come Giosuè, anche Gesù pone i suoi discepoli di fronte alla necessità di scegliere. Egli non ha bisogno di servi, ma di amici; non di schiavi, ma di </w:t>
      </w:r>
      <w:r w:rsidR="00360058">
        <w:rPr>
          <w:rFonts w:ascii="Times New Roman" w:hAnsi="Times New Roman"/>
        </w:rPr>
        <w:t>persone</w:t>
      </w:r>
      <w:r>
        <w:rPr>
          <w:rFonts w:ascii="Times New Roman" w:hAnsi="Times New Roman"/>
        </w:rPr>
        <w:t xml:space="preserve"> liber</w:t>
      </w:r>
      <w:r w:rsidR="00360058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. </w:t>
      </w:r>
      <w:r w:rsidR="00360058">
        <w:rPr>
          <w:rFonts w:ascii="Times New Roman" w:hAnsi="Times New Roman"/>
        </w:rPr>
        <w:t>Se è vero che la fede è un dono</w:t>
      </w:r>
      <w:r w:rsidR="003967F5">
        <w:rPr>
          <w:rFonts w:ascii="Times New Roman" w:hAnsi="Times New Roman"/>
        </w:rPr>
        <w:t>, questo dono dev’</w:t>
      </w:r>
      <w:r>
        <w:rPr>
          <w:rFonts w:ascii="Times New Roman" w:hAnsi="Times New Roman"/>
        </w:rPr>
        <w:t xml:space="preserve">essere accolto nella libertà. Gesù rischia molto: solo chi conosce veramente le persone che gli stanno di fronte </w:t>
      </w:r>
      <w:r w:rsidR="00360058">
        <w:rPr>
          <w:rFonts w:ascii="Times New Roman" w:hAnsi="Times New Roman"/>
        </w:rPr>
        <w:t>lo può fare</w:t>
      </w:r>
      <w:r>
        <w:rPr>
          <w:rFonts w:ascii="Times New Roman" w:hAnsi="Times New Roman"/>
        </w:rPr>
        <w:t xml:space="preserve">! Questo è lo stile di Gesù, anche se egli sa che ci sarà sempre un traditore; su questa tonalità amara si chiude infatti il brano </w:t>
      </w:r>
      <w:r w:rsidR="003967F5">
        <w:rPr>
          <w:rFonts w:ascii="Times New Roman" w:hAnsi="Times New Roman"/>
        </w:rPr>
        <w:t>di oggi</w:t>
      </w:r>
      <w:r>
        <w:rPr>
          <w:rFonts w:ascii="Times New Roman" w:hAnsi="Times New Roman"/>
        </w:rPr>
        <w:t xml:space="preserve"> </w:t>
      </w:r>
      <w:r w:rsidR="00360058">
        <w:rPr>
          <w:rFonts w:ascii="Times New Roman" w:hAnsi="Times New Roman"/>
        </w:rPr>
        <w:t>con due versetti che la liturgia omette.</w:t>
      </w:r>
    </w:p>
    <w:p w14:paraId="50D06EBE" w14:textId="2C5302EA" w:rsidR="00546BC9" w:rsidRDefault="00546BC9" w:rsidP="00A96F9C">
      <w:pPr>
        <w:spacing w:after="120"/>
        <w:ind w:firstLine="142"/>
        <w:jc w:val="both"/>
        <w:rPr>
          <w:rFonts w:ascii="Times New Roman" w:hAnsi="Times New Roman"/>
        </w:rPr>
      </w:pPr>
      <w:r w:rsidRPr="003967F5">
        <w:rPr>
          <w:rFonts w:ascii="Times New Roman" w:hAnsi="Times New Roman"/>
          <w:b/>
          <w:sz w:val="32"/>
        </w:rPr>
        <w:t>L</w:t>
      </w:r>
      <w:r>
        <w:rPr>
          <w:rFonts w:ascii="Times New Roman" w:hAnsi="Times New Roman"/>
        </w:rPr>
        <w:t xml:space="preserve">a risposta dei dodici alla provocazione di Gesù è davvero </w:t>
      </w:r>
      <w:r w:rsidR="00A96F9C">
        <w:rPr>
          <w:rFonts w:ascii="Times New Roman" w:hAnsi="Times New Roman"/>
        </w:rPr>
        <w:t>straordinaria</w:t>
      </w:r>
      <w:r>
        <w:rPr>
          <w:rFonts w:ascii="Times New Roman" w:hAnsi="Times New Roman"/>
        </w:rPr>
        <w:t>: “Signore, da chi andremo? Tu hai parole di vita eterna!”. Ha intuito due cose</w:t>
      </w:r>
      <w:r w:rsidR="00360058">
        <w:rPr>
          <w:rFonts w:ascii="Times New Roman" w:hAnsi="Times New Roman"/>
        </w:rPr>
        <w:t xml:space="preserve"> lui,</w:t>
      </w:r>
      <w:r>
        <w:rPr>
          <w:rFonts w:ascii="Times New Roman" w:hAnsi="Times New Roman"/>
        </w:rPr>
        <w:t xml:space="preserve"> il povero Pietro, il primo a buttarsi e il primo a fuggire: di questo Gesù non si può proprio fare a meno. Vale la pena di continuare a seguirlo: nessuno, prima di lui, ci</w:t>
      </w:r>
      <w:r w:rsidR="00360058">
        <w:rPr>
          <w:rFonts w:ascii="Times New Roman" w:hAnsi="Times New Roman"/>
        </w:rPr>
        <w:t xml:space="preserve"> aveva aperto gli occhi su una vita</w:t>
      </w:r>
      <w:r>
        <w:rPr>
          <w:rFonts w:ascii="Times New Roman" w:hAnsi="Times New Roman"/>
        </w:rPr>
        <w:t xml:space="preserve"> così diversa da quella alla quale eravamo abituati; una vita che non finisce, la vita stessa di Dio. Ma Pietro va oltre: “noi abbiamo creduto e conosciuto che tu sei il Santo di Dio”</w:t>
      </w:r>
      <w:r w:rsidR="00A96F9C">
        <w:rPr>
          <w:rFonts w:ascii="Times New Roman" w:hAnsi="Times New Roman"/>
        </w:rPr>
        <w:t xml:space="preserve">; tu sei </w:t>
      </w:r>
      <w:r w:rsidR="00360058">
        <w:rPr>
          <w:rFonts w:ascii="Times New Roman" w:hAnsi="Times New Roman"/>
        </w:rPr>
        <w:t>colui cioè che Dio ha consacrato e inviato nel mondo</w:t>
      </w:r>
      <w:r>
        <w:rPr>
          <w:rFonts w:ascii="Times New Roman" w:hAnsi="Times New Roman"/>
        </w:rPr>
        <w:t xml:space="preserve">. La successione dei verbi è tipica di Giovanni: il </w:t>
      </w:r>
      <w:r w:rsidR="00360058">
        <w:rPr>
          <w:rFonts w:ascii="Times New Roman" w:hAnsi="Times New Roman"/>
        </w:rPr>
        <w:t>“</w:t>
      </w:r>
      <w:r>
        <w:rPr>
          <w:rFonts w:ascii="Times New Roman" w:hAnsi="Times New Roman"/>
        </w:rPr>
        <w:t>credere</w:t>
      </w:r>
      <w:r w:rsidR="00360058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 precede il </w:t>
      </w:r>
      <w:r w:rsidR="00360058">
        <w:rPr>
          <w:rFonts w:ascii="Times New Roman" w:hAnsi="Times New Roman"/>
        </w:rPr>
        <w:t>“</w:t>
      </w:r>
      <w:r>
        <w:rPr>
          <w:rFonts w:ascii="Times New Roman" w:hAnsi="Times New Roman"/>
        </w:rPr>
        <w:t>conoscere</w:t>
      </w:r>
      <w:r w:rsidR="00360058">
        <w:rPr>
          <w:rFonts w:ascii="Times New Roman" w:hAnsi="Times New Roman"/>
        </w:rPr>
        <w:t>”</w:t>
      </w:r>
      <w:r>
        <w:rPr>
          <w:rFonts w:ascii="Times New Roman" w:hAnsi="Times New Roman"/>
        </w:rPr>
        <w:t>; l’aver conosciuto il Signore non è sufficiente, se non si è disposti a credere in lui. Pietro dimostra di aver creduto, di essersi cioè fidato del Signore, prima ancora di aver compreso tutto ciò che egli ha detto.</w:t>
      </w:r>
      <w:r w:rsidR="00D568E3">
        <w:rPr>
          <w:rFonts w:ascii="Times New Roman" w:hAnsi="Times New Roman"/>
        </w:rPr>
        <w:t xml:space="preserve"> Di fronte alla possibilità dell’abbandono e della fuga, Pietro scopre la gioia della fiducia.</w:t>
      </w:r>
      <w:r w:rsidR="00A96F9C">
        <w:rPr>
          <w:rFonts w:ascii="Times New Roman" w:hAnsi="Times New Roman"/>
        </w:rPr>
        <w:t xml:space="preserve"> Così il Signore ci invita a guardare ai segni positivi che ancora oggi egli è in grado di far n</w:t>
      </w:r>
      <w:r w:rsidR="00353FA8">
        <w:rPr>
          <w:rFonts w:ascii="Times New Roman" w:hAnsi="Times New Roman"/>
        </w:rPr>
        <w:t>ascere nel cuore delle persone.</w:t>
      </w:r>
      <w:bookmarkStart w:id="0" w:name="_GoBack"/>
      <w:bookmarkEnd w:id="0"/>
    </w:p>
    <w:p w14:paraId="67355CDE" w14:textId="77777777" w:rsidR="00546BC9" w:rsidRDefault="00546BC9" w:rsidP="00065E92">
      <w:pPr>
        <w:spacing w:after="120"/>
        <w:ind w:firstLine="142"/>
      </w:pPr>
    </w:p>
    <w:sectPr w:rsidR="00546BC9" w:rsidSect="00A96F9C">
      <w:pgSz w:w="11900" w:h="16840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200"/>
  <w:embedSystemFonts/>
  <w:proofState w:spelling="clean" w:grammar="clean"/>
  <w:doNotTrackMoves/>
  <w:defaultTabStop w:val="708"/>
  <w:autoHyphenation/>
  <w:hyphenationZone w:val="284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546BC9"/>
    <w:rsid w:val="00065E92"/>
    <w:rsid w:val="002742F1"/>
    <w:rsid w:val="002D28D0"/>
    <w:rsid w:val="00353FA8"/>
    <w:rsid w:val="00360058"/>
    <w:rsid w:val="003967F5"/>
    <w:rsid w:val="00546BC9"/>
    <w:rsid w:val="00A63B06"/>
    <w:rsid w:val="00A96F9C"/>
    <w:rsid w:val="00D568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4:docId w14:val="7F0655A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546BC9"/>
    <w:pPr>
      <w:spacing w:after="0"/>
    </w:pPr>
    <w:rPr>
      <w:rFonts w:ascii="Times" w:eastAsia="Times New Roman" w:hAnsi="Times" w:cs="Times New Roman"/>
      <w:sz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D51E36"/>
    <w:pPr>
      <w:jc w:val="both"/>
    </w:pPr>
    <w:rPr>
      <w:rFonts w:ascii="Times New Roman" w:eastAsia="Times" w:hAnsi="Times New Roman"/>
      <w:sz w:val="24"/>
    </w:rPr>
  </w:style>
  <w:style w:type="paragraph" w:styleId="Testonotadichiusura">
    <w:name w:val="endnote text"/>
    <w:basedOn w:val="Normale"/>
    <w:link w:val="TestonotadichiusuraCarattere"/>
    <w:rsid w:val="00836F64"/>
    <w:pPr>
      <w:jc w:val="both"/>
    </w:pPr>
    <w:rPr>
      <w:rFonts w:asciiTheme="minorHAnsi" w:eastAsiaTheme="minorHAnsi" w:hAnsiTheme="minorHAnsi" w:cstheme="minorBidi"/>
      <w:snapToGrid w:val="0"/>
      <w:sz w:val="24"/>
      <w:szCs w:val="24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836F64"/>
    <w:rPr>
      <w:snapToGrid w:val="0"/>
      <w:sz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51E36"/>
    <w:rPr>
      <w:rFonts w:ascii="Times New Roman" w:eastAsia="Times" w:hAnsi="Times New Roman" w:cs="Times New Roman"/>
      <w:sz w:val="24"/>
      <w:lang w:eastAsia="it-IT"/>
    </w:rPr>
  </w:style>
  <w:style w:type="paragraph" w:styleId="Corpotesto">
    <w:name w:val="Body Text"/>
    <w:basedOn w:val="Normale"/>
    <w:link w:val="CorpotestoCarattere"/>
    <w:rsid w:val="00546BC9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546BC9"/>
    <w:rPr>
      <w:rFonts w:ascii="Times" w:eastAsia="Times New Roman" w:hAnsi="Times" w:cs="Times New Roman"/>
      <w:sz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1194</Words>
  <Characters>6808</Characters>
  <Application>Microsoft Macintosh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</dc:creator>
  <cp:keywords/>
  <cp:lastModifiedBy>Utente di Microsoft Office</cp:lastModifiedBy>
  <cp:revision>6</cp:revision>
  <dcterms:created xsi:type="dcterms:W3CDTF">2021-08-18T15:20:00Z</dcterms:created>
  <dcterms:modified xsi:type="dcterms:W3CDTF">2024-08-23T13:04:00Z</dcterms:modified>
</cp:coreProperties>
</file>